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FA8492">
      <w:pPr>
        <w:spacing w:line="480" w:lineRule="exact"/>
        <w:rPr>
          <w:rFonts w:ascii="方正小标宋简体" w:eastAsia="方正小标宋简体"/>
          <w:sz w:val="36"/>
          <w:szCs w:val="36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 w14:paraId="47FF6120">
      <w:pPr>
        <w:spacing w:line="560" w:lineRule="exact"/>
        <w:jc w:val="center"/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  <w:lang w:val="en-US" w:eastAsia="zh-CN"/>
        </w:rPr>
        <w:t>朝阳区妇女联合会妇女之家工作经费</w:t>
      </w:r>
      <w:r>
        <w:rPr>
          <w:rFonts w:hint="eastAsia" w:ascii="方正小标宋简体" w:eastAsia="方正小标宋简体"/>
          <w:sz w:val="36"/>
          <w:szCs w:val="36"/>
        </w:rPr>
        <w:t>项目支出</w:t>
      </w:r>
    </w:p>
    <w:p w14:paraId="76DF34E7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绩效评价报告</w:t>
      </w:r>
    </w:p>
    <w:p w14:paraId="638DEBEB">
      <w:pPr>
        <w:jc w:val="center"/>
        <w:rPr>
          <w:rFonts w:ascii="仿宋_GB2312" w:eastAsia="仿宋_GB2312"/>
          <w:sz w:val="32"/>
          <w:szCs w:val="32"/>
        </w:rPr>
      </w:pPr>
    </w:p>
    <w:p w14:paraId="4DE2090C"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基本情况</w:t>
      </w:r>
    </w:p>
    <w:p w14:paraId="5F0C82A8">
      <w:pPr>
        <w:numPr>
          <w:ilvl w:val="0"/>
          <w:numId w:val="2"/>
        </w:numPr>
        <w:spacing w:line="600" w:lineRule="exact"/>
        <w:ind w:firstLine="640" w:firstLineChars="200"/>
        <w:rPr>
          <w:rFonts w:hint="eastAsia" w:ascii="方正楷体_GB2312" w:hAnsi="方正楷体_GB2312" w:eastAsia="方正楷体_GB2312" w:cs="方正楷体_GB2312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项目概况</w:t>
      </w:r>
    </w:p>
    <w:p w14:paraId="13C99588">
      <w:pPr>
        <w:numPr>
          <w:ilvl w:val="0"/>
          <w:numId w:val="0"/>
        </w:numPr>
        <w:spacing w:line="600" w:lineRule="exact"/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 xml:space="preserve"> 1.项目背景</w:t>
      </w:r>
    </w:p>
    <w:p w14:paraId="7A2CA164">
      <w:pPr>
        <w:numPr>
          <w:ilvl w:val="0"/>
          <w:numId w:val="0"/>
        </w:numPr>
        <w:spacing w:line="600" w:lineRule="exact"/>
        <w:ind w:firstLine="640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为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进一步团结引领广大妇女群众听党话、跟党走</w:t>
      </w:r>
      <w:r>
        <w:rPr>
          <w:rFonts w:hint="default" w:ascii="Times New Roman" w:hAnsi="Times New Roman" w:eastAsia="方正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切实增强妇女群众的获得感、幸福感，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在广大妇女群众和家庭中凝聚巾帼正能量，是妇联的重要职能任务，而妇女之家是各级妇联组织开展工作的阵地，为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夯实妇联联系服务群众基层工作阵地</w:t>
      </w:r>
      <w:r>
        <w:rPr>
          <w:rFonts w:hint="default" w:ascii="Times New Roman" w:hAnsi="Times New Roman" w:eastAsia="方正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设立妇女之家工作经费。</w:t>
      </w:r>
    </w:p>
    <w:p w14:paraId="3A0453CA">
      <w:pPr>
        <w:numPr>
          <w:ilvl w:val="0"/>
          <w:numId w:val="0"/>
        </w:numPr>
        <w:spacing w:line="600" w:lineRule="exact"/>
        <w:ind w:firstLine="640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2.主要内容</w:t>
      </w:r>
    </w:p>
    <w:p w14:paraId="0D32FD50">
      <w:pPr>
        <w:numPr>
          <w:ilvl w:val="0"/>
          <w:numId w:val="0"/>
        </w:numPr>
        <w:spacing w:line="240" w:lineRule="auto"/>
        <w:ind w:firstLine="640" w:firstLineChars="200"/>
        <w:rPr>
          <w:rFonts w:hint="default" w:ascii="Times New Roman" w:hAnsi="Times New Roman" w:eastAsia="方正仿宋_GB2312" w:cs="Times New Roman"/>
          <w:sz w:val="32"/>
          <w:szCs w:val="32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妇女之家工作经费的主要内容是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以妇女之家为阵地，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以点面相结合的方式，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开展切合妇女儿童需求的系列活动项目、活动、课程，通过开展学习培训、家庭教育、权益维护等工作，进一步加强对妇女群众的思想引领，提升其职业技能，建设好家庭，加强同妇女群众的联系和服务。</w:t>
      </w:r>
    </w:p>
    <w:p w14:paraId="41C5EE8E">
      <w:pPr>
        <w:numPr>
          <w:ilvl w:val="0"/>
          <w:numId w:val="0"/>
        </w:numPr>
        <w:spacing w:line="240" w:lineRule="auto"/>
        <w:ind w:firstLine="640" w:firstLineChars="200"/>
        <w:rPr>
          <w:rFonts w:hint="eastAsia" w:eastAsia="方正仿宋_GB2312" w:cs="Times New Roman"/>
          <w:sz w:val="32"/>
          <w:szCs w:val="32"/>
          <w:lang w:val="en-US" w:eastAsia="zh-CN"/>
        </w:rPr>
      </w:pPr>
      <w:r>
        <w:rPr>
          <w:rFonts w:hint="eastAsia" w:eastAsia="方正仿宋_GB2312" w:cs="Times New Roman"/>
          <w:sz w:val="32"/>
          <w:szCs w:val="32"/>
          <w:lang w:val="en-US" w:eastAsia="zh-CN"/>
        </w:rPr>
        <w:t>3.实施情况</w:t>
      </w:r>
    </w:p>
    <w:p w14:paraId="16D9D4D2">
      <w:pPr>
        <w:numPr>
          <w:ilvl w:val="0"/>
          <w:numId w:val="0"/>
        </w:numPr>
        <w:spacing w:line="240" w:lineRule="auto"/>
        <w:ind w:firstLine="640"/>
        <w:rPr>
          <w:rFonts w:hint="eastAsia" w:eastAsia="方正仿宋_GB2312" w:cs="Times New Roman"/>
          <w:sz w:val="32"/>
          <w:szCs w:val="32"/>
          <w:lang w:val="en-US" w:eastAsia="zh-CN"/>
        </w:rPr>
      </w:pPr>
      <w:r>
        <w:rPr>
          <w:rFonts w:hint="eastAsia" w:eastAsia="方正仿宋_GB2312" w:cs="Times New Roman"/>
          <w:sz w:val="32"/>
          <w:szCs w:val="32"/>
          <w:lang w:val="en-US" w:eastAsia="zh-CN"/>
        </w:rPr>
        <w:t>各级妇联组织根据妇女之家职能情况，根据妇女之家经费管理办法，开展形式多样的活动。</w:t>
      </w:r>
    </w:p>
    <w:p w14:paraId="500A2530">
      <w:pPr>
        <w:numPr>
          <w:ilvl w:val="0"/>
          <w:numId w:val="0"/>
        </w:numPr>
        <w:spacing w:line="240" w:lineRule="auto"/>
        <w:ind w:firstLine="640" w:firstLineChars="200"/>
        <w:rPr>
          <w:rFonts w:hint="eastAsia" w:eastAsia="方正仿宋_GB2312" w:cs="Times New Roman"/>
          <w:sz w:val="32"/>
          <w:szCs w:val="32"/>
          <w:lang w:val="en-US" w:eastAsia="zh-CN"/>
        </w:rPr>
      </w:pPr>
      <w:r>
        <w:rPr>
          <w:rFonts w:hint="eastAsia" w:eastAsia="方正仿宋_GB2312" w:cs="Times New Roman"/>
          <w:sz w:val="32"/>
          <w:szCs w:val="32"/>
          <w:lang w:val="en-US" w:eastAsia="zh-CN"/>
        </w:rPr>
        <w:t>4.资金投入和使用</w:t>
      </w:r>
    </w:p>
    <w:p w14:paraId="78585F3E">
      <w:pPr>
        <w:numPr>
          <w:ilvl w:val="0"/>
          <w:numId w:val="0"/>
        </w:numPr>
        <w:spacing w:line="240" w:lineRule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eastAsia="方正仿宋_GB2312" w:cs="Times New Roman"/>
          <w:sz w:val="32"/>
          <w:szCs w:val="32"/>
          <w:lang w:val="en-US" w:eastAsia="zh-CN"/>
        </w:rPr>
        <w:t xml:space="preserve">    妇女之家工作经费2024年项目预算617.78万元，项目周期为2024年1月1日-2024年12月31日，2024年妇女之家工作经费实际支出617.78万元，执行率100%。</w:t>
      </w:r>
    </w:p>
    <w:p w14:paraId="0C6A9BBA">
      <w:pPr>
        <w:numPr>
          <w:ilvl w:val="0"/>
          <w:numId w:val="2"/>
        </w:numPr>
        <w:spacing w:line="600" w:lineRule="exact"/>
        <w:ind w:firstLine="640" w:firstLineChars="200"/>
        <w:rPr>
          <w:rFonts w:hint="eastAsia" w:ascii="方正楷体_GB2312" w:hAnsi="方正楷体_GB2312" w:eastAsia="方正楷体_GB2312" w:cs="方正楷体_GB2312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项目绩效目标</w:t>
      </w:r>
    </w:p>
    <w:p w14:paraId="72B991AE">
      <w:pPr>
        <w:numPr>
          <w:ilvl w:val="0"/>
          <w:numId w:val="0"/>
        </w:numPr>
        <w:spacing w:line="240" w:lineRule="auto"/>
        <w:ind w:firstLine="960" w:firstLineChars="300"/>
        <w:rPr>
          <w:rFonts w:hint="eastAsia" w:eastAsia="方正仿宋_GB2312" w:cs="Times New Roman"/>
          <w:sz w:val="32"/>
          <w:szCs w:val="32"/>
          <w:lang w:val="en-US" w:eastAsia="zh-CN"/>
        </w:rPr>
      </w:pPr>
      <w:r>
        <w:rPr>
          <w:rFonts w:hint="eastAsia" w:eastAsia="方正仿宋_GB2312" w:cs="Times New Roman"/>
          <w:sz w:val="32"/>
          <w:szCs w:val="32"/>
          <w:lang w:val="en-US" w:eastAsia="zh-CN"/>
        </w:rPr>
        <w:t>1.总体目标</w:t>
      </w:r>
    </w:p>
    <w:p w14:paraId="25AC3080">
      <w:pPr>
        <w:numPr>
          <w:ilvl w:val="0"/>
          <w:numId w:val="0"/>
        </w:numPr>
        <w:spacing w:line="240" w:lineRule="auto"/>
        <w:ind w:firstLine="640" w:firstLineChars="200"/>
        <w:rPr>
          <w:rFonts w:hint="default" w:eastAsia="方正仿宋_GB2312" w:cs="Times New Roman"/>
          <w:sz w:val="32"/>
          <w:szCs w:val="32"/>
          <w:lang w:val="en-US" w:eastAsia="zh-CN"/>
        </w:rPr>
      </w:pPr>
      <w:r>
        <w:rPr>
          <w:rFonts w:hint="default" w:eastAsia="方正仿宋_GB2312" w:cs="Times New Roman"/>
          <w:sz w:val="32"/>
          <w:szCs w:val="32"/>
          <w:lang w:val="en-US" w:eastAsia="zh-CN"/>
        </w:rPr>
        <w:t>落实妇联联系服务妇女群众基层工作阵地，开展点面结合的妇女群众活动，充分发挥妇女之家阵地作用，通过开展学习培训、家庭教育、权益维护等工作，进一步加强对妇女群众的思想引领，提升其职业技能，建设好家庭，加强同妇女群众的联系和服务，妇女群众的获得感、幸福感。</w:t>
      </w:r>
    </w:p>
    <w:p w14:paraId="6D34246F">
      <w:pPr>
        <w:numPr>
          <w:ilvl w:val="0"/>
          <w:numId w:val="0"/>
        </w:numPr>
        <w:spacing w:line="240" w:lineRule="auto"/>
        <w:ind w:firstLine="640" w:firstLineChars="200"/>
        <w:rPr>
          <w:rFonts w:hint="eastAsia" w:eastAsia="方正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eastAsia="方正仿宋_GB2312" w:cs="Times New Roman"/>
          <w:sz w:val="32"/>
          <w:szCs w:val="32"/>
          <w:lang w:val="en-US" w:eastAsia="zh-CN"/>
        </w:rPr>
        <w:t>阶段性目标</w:t>
      </w:r>
    </w:p>
    <w:p w14:paraId="01CAD26E">
      <w:pPr>
        <w:numPr>
          <w:ilvl w:val="0"/>
          <w:numId w:val="0"/>
        </w:numPr>
        <w:spacing w:line="240" w:lineRule="auto"/>
        <w:ind w:left="638" w:leftChars="304" w:firstLine="0" w:firstLineChars="0"/>
        <w:rPr>
          <w:rFonts w:hint="eastAsia" w:eastAsia="方正仿宋_GB2312" w:cs="Times New Roman"/>
          <w:sz w:val="32"/>
          <w:szCs w:val="32"/>
          <w:lang w:val="en-US" w:eastAsia="zh-CN"/>
        </w:rPr>
      </w:pPr>
      <w:r>
        <w:rPr>
          <w:rFonts w:hint="eastAsia" w:eastAsia="方正仿宋_GB2312" w:cs="Times New Roman"/>
          <w:sz w:val="32"/>
          <w:szCs w:val="32"/>
          <w:lang w:val="en-US" w:eastAsia="zh-CN"/>
        </w:rPr>
        <w:t>数量指标：活动开展场次≥50场；服务妇女群众数≥50000人。</w:t>
      </w:r>
    </w:p>
    <w:p w14:paraId="681CF556">
      <w:pPr>
        <w:numPr>
          <w:ilvl w:val="0"/>
          <w:numId w:val="0"/>
        </w:numPr>
        <w:spacing w:line="240" w:lineRule="auto"/>
        <w:ind w:left="638" w:leftChars="304" w:firstLine="0" w:firstLineChars="0"/>
        <w:rPr>
          <w:rFonts w:hint="eastAsia" w:eastAsia="方正仿宋_GB2312" w:cs="Times New Roman"/>
          <w:sz w:val="32"/>
          <w:szCs w:val="32"/>
          <w:lang w:val="en-US" w:eastAsia="zh-CN"/>
        </w:rPr>
      </w:pPr>
      <w:r>
        <w:rPr>
          <w:rFonts w:hint="eastAsia" w:eastAsia="方正仿宋_GB2312" w:cs="Times New Roman"/>
          <w:sz w:val="32"/>
          <w:szCs w:val="32"/>
          <w:lang w:val="en-US" w:eastAsia="zh-CN"/>
        </w:rPr>
        <w:t>质量指标：妇女之家阵地作用凸显目标值是优。</w:t>
      </w:r>
    </w:p>
    <w:p w14:paraId="770D1C3A">
      <w:pPr>
        <w:numPr>
          <w:ilvl w:val="0"/>
          <w:numId w:val="0"/>
        </w:numPr>
        <w:spacing w:line="240" w:lineRule="auto"/>
        <w:ind w:left="638" w:leftChars="304" w:firstLine="0" w:firstLineChars="0"/>
        <w:rPr>
          <w:rFonts w:hint="eastAsia" w:eastAsia="方正仿宋_GB2312" w:cs="Times New Roman"/>
          <w:sz w:val="32"/>
          <w:szCs w:val="32"/>
          <w:lang w:val="en-US" w:eastAsia="zh-CN"/>
        </w:rPr>
      </w:pPr>
      <w:r>
        <w:rPr>
          <w:rFonts w:hint="eastAsia" w:eastAsia="方正仿宋_GB2312" w:cs="Times New Roman"/>
          <w:sz w:val="32"/>
          <w:szCs w:val="32"/>
          <w:lang w:val="en-US" w:eastAsia="zh-CN"/>
        </w:rPr>
        <w:t>时效指标：</w:t>
      </w:r>
      <w:r>
        <w:rPr>
          <w:rFonts w:hint="default" w:eastAsia="方正仿宋_GB2312" w:cs="Times New Roman"/>
          <w:sz w:val="32"/>
          <w:szCs w:val="32"/>
          <w:lang w:val="en-US" w:eastAsia="zh-CN"/>
        </w:rPr>
        <w:t>每个季度完成工作进度</w:t>
      </w:r>
      <w:r>
        <w:rPr>
          <w:rFonts w:hint="eastAsia" w:eastAsia="方正仿宋_GB2312" w:cs="Times New Roman"/>
          <w:sz w:val="32"/>
          <w:szCs w:val="32"/>
          <w:lang w:val="en-US" w:eastAsia="zh-CN"/>
        </w:rPr>
        <w:t>≥25%。</w:t>
      </w:r>
    </w:p>
    <w:p w14:paraId="26A63A91">
      <w:pPr>
        <w:numPr>
          <w:ilvl w:val="0"/>
          <w:numId w:val="0"/>
        </w:numPr>
        <w:spacing w:line="240" w:lineRule="auto"/>
        <w:ind w:left="638" w:leftChars="304" w:firstLine="0" w:firstLineChars="0"/>
        <w:rPr>
          <w:rFonts w:hint="eastAsia" w:eastAsia="方正仿宋_GB2312" w:cs="Times New Roman"/>
          <w:sz w:val="32"/>
          <w:szCs w:val="32"/>
          <w:lang w:val="en-US" w:eastAsia="zh-CN"/>
        </w:rPr>
      </w:pPr>
      <w:r>
        <w:rPr>
          <w:rFonts w:hint="eastAsia" w:eastAsia="方正仿宋_GB2312" w:cs="Times New Roman"/>
          <w:sz w:val="32"/>
          <w:szCs w:val="32"/>
          <w:lang w:val="en-US" w:eastAsia="zh-CN"/>
        </w:rPr>
        <w:t>社会效益指标：妇女儿童幸福度获得感提升目标值是优。</w:t>
      </w:r>
    </w:p>
    <w:p w14:paraId="56B85597">
      <w:pPr>
        <w:numPr>
          <w:ilvl w:val="0"/>
          <w:numId w:val="0"/>
        </w:numPr>
        <w:spacing w:line="240" w:lineRule="auto"/>
        <w:ind w:left="638" w:leftChars="304" w:firstLine="0" w:firstLineChars="0"/>
        <w:rPr>
          <w:rFonts w:hint="default" w:eastAsia="方正仿宋_GB2312" w:cs="Times New Roman"/>
          <w:sz w:val="32"/>
          <w:szCs w:val="32"/>
          <w:lang w:val="en-US" w:eastAsia="zh-CN"/>
        </w:rPr>
      </w:pPr>
      <w:r>
        <w:rPr>
          <w:rFonts w:hint="eastAsia" w:eastAsia="方正仿宋_GB2312" w:cs="Times New Roman"/>
          <w:sz w:val="32"/>
          <w:szCs w:val="32"/>
          <w:lang w:val="en-US" w:eastAsia="zh-CN"/>
        </w:rPr>
        <w:t>满意度指标：服务对象满意度为100%。</w:t>
      </w:r>
    </w:p>
    <w:p w14:paraId="1D93544F"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二、绩效评价工作开展情况</w:t>
      </w:r>
    </w:p>
    <w:p w14:paraId="15502032">
      <w:pPr>
        <w:spacing w:line="600" w:lineRule="exact"/>
        <w:ind w:firstLine="640" w:firstLineChars="200"/>
        <w:rPr>
          <w:rFonts w:hint="eastAsia" w:ascii="方正楷体_GB2312" w:hAnsi="方正楷体_GB2312" w:eastAsia="方正楷体_GB2312" w:cs="方正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</w:t>
      </w: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绩效评价目的、对象和范围</w:t>
      </w:r>
    </w:p>
    <w:p w14:paraId="56FA08D0">
      <w:pPr>
        <w:numPr>
          <w:ilvl w:val="0"/>
          <w:numId w:val="0"/>
        </w:numPr>
        <w:spacing w:line="240" w:lineRule="auto"/>
        <w:ind w:firstLine="960" w:firstLineChars="300"/>
        <w:rPr>
          <w:rFonts w:hint="eastAsia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eastAsia="方正仿宋_GB2312" w:cs="Times New Roman"/>
          <w:kern w:val="2"/>
          <w:sz w:val="32"/>
          <w:szCs w:val="32"/>
          <w:lang w:val="en-US" w:eastAsia="zh-CN" w:bidi="ar-SA"/>
        </w:rPr>
        <w:t>1.绩效评价目的</w:t>
      </w:r>
    </w:p>
    <w:p w14:paraId="42980650">
      <w:pPr>
        <w:numPr>
          <w:ilvl w:val="0"/>
          <w:numId w:val="0"/>
        </w:numPr>
        <w:spacing w:line="600" w:lineRule="exact"/>
        <w:ind w:firstLine="640"/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为综合评价2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02</w:t>
      </w:r>
      <w:r>
        <w:rPr>
          <w:rFonts w:hint="eastAsia" w:eastAsia="方正仿宋_GB2312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年妇女之家工作经费购买服务项目的实施过程和成效，提高政府财政资金的使用效益和效率，根据绩效评价所提供的信息，识别优秀项目，达到以评促提升、以评促发展的目的，实现妇女儿童公益服务领域项目的高质量发展。</w:t>
      </w:r>
    </w:p>
    <w:p w14:paraId="7839225C">
      <w:pPr>
        <w:spacing w:line="56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eastAsia="方正仿宋_GB2312" w:cs="Times New Roman"/>
          <w:kern w:val="2"/>
          <w:sz w:val="32"/>
          <w:szCs w:val="32"/>
          <w:lang w:val="en-US" w:eastAsia="zh-CN" w:bidi="ar-SA"/>
        </w:rPr>
        <w:t>2.绩效评价的对象</w:t>
      </w:r>
    </w:p>
    <w:p w14:paraId="1FD39D1D">
      <w:pPr>
        <w:numPr>
          <w:ilvl w:val="0"/>
          <w:numId w:val="0"/>
        </w:numPr>
        <w:spacing w:line="600" w:lineRule="exact"/>
        <w:ind w:firstLine="640"/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绩效评价的对象对使用202</w:t>
      </w:r>
      <w:r>
        <w:rPr>
          <w:rFonts w:hint="eastAsia" w:eastAsia="方正仿宋_GB2312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年妇女之家工作经费开展的项目、活动、课程开展绩效评价。</w:t>
      </w:r>
    </w:p>
    <w:p w14:paraId="7475DCD4">
      <w:pPr>
        <w:spacing w:line="560" w:lineRule="exact"/>
        <w:ind w:firstLine="640" w:firstLineChars="200"/>
        <w:rPr>
          <w:rFonts w:hint="eastAsia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eastAsia="方正仿宋_GB2312" w:cs="Times New Roman"/>
          <w:kern w:val="2"/>
          <w:sz w:val="32"/>
          <w:szCs w:val="32"/>
          <w:lang w:val="en-US" w:eastAsia="zh-CN" w:bidi="ar-SA"/>
        </w:rPr>
        <w:t>3.绩效评价的范围</w:t>
      </w:r>
    </w:p>
    <w:p w14:paraId="6D67CDBB">
      <w:pPr>
        <w:numPr>
          <w:ilvl w:val="0"/>
          <w:numId w:val="0"/>
        </w:numPr>
        <w:spacing w:line="600" w:lineRule="exact"/>
        <w:ind w:firstLine="640"/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绩效评价针对项目、课程、活动执行的全过程进行整体评估，一是检验其是否按照计划进度如期完成；二是检验其实施是否达成了预期目标；三是评价其实施过程是否规范合理；四是综合评价整体效果。</w:t>
      </w:r>
    </w:p>
    <w:p w14:paraId="6C2144BA">
      <w:pPr>
        <w:spacing w:line="600" w:lineRule="exact"/>
        <w:ind w:firstLine="640" w:firstLineChars="200"/>
        <w:rPr>
          <w:rFonts w:hint="eastAsia" w:ascii="方正楷体_GB2312" w:hAnsi="方正楷体_GB2312" w:eastAsia="方正楷体_GB2312" w:cs="方正楷体_GB2312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  <w:lang w:eastAsia="zh-CN"/>
        </w:rPr>
        <w:t>（</w:t>
      </w:r>
      <w:r>
        <w:rPr>
          <w:rFonts w:hint="eastAsia" w:ascii="方正楷体_GB2312" w:hAnsi="方正楷体_GB2312" w:eastAsia="方正楷体_GB2312" w:cs="方正楷体_GB2312"/>
          <w:sz w:val="32"/>
          <w:szCs w:val="32"/>
          <w:lang w:val="en-US" w:eastAsia="zh-CN"/>
        </w:rPr>
        <w:t>二</w:t>
      </w:r>
      <w:r>
        <w:rPr>
          <w:rFonts w:hint="eastAsia" w:ascii="方正楷体_GB2312" w:hAnsi="方正楷体_GB2312" w:eastAsia="方正楷体_GB2312" w:cs="方正楷体_GB2312"/>
          <w:sz w:val="32"/>
          <w:szCs w:val="32"/>
          <w:lang w:eastAsia="zh-CN"/>
        </w:rPr>
        <w:t>）</w:t>
      </w: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绩效评价原则、评价指标体系（附表说明）、评价方法、评价标准等</w:t>
      </w:r>
    </w:p>
    <w:p w14:paraId="2551995B"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1.绩效评价原则</w:t>
      </w:r>
    </w:p>
    <w:p w14:paraId="6CA90A41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客观性原则</w:t>
      </w:r>
    </w:p>
    <w:p w14:paraId="38670262">
      <w:pPr>
        <w:numPr>
          <w:ilvl w:val="0"/>
          <w:numId w:val="0"/>
        </w:numPr>
        <w:spacing w:line="600" w:lineRule="exact"/>
        <w:ind w:firstLine="640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以客观事实为依据，准确反映项目在投入、执行、产出以及成效方面的实际情况。</w:t>
      </w:r>
    </w:p>
    <w:p w14:paraId="107C57EC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公正性原则</w:t>
      </w:r>
    </w:p>
    <w:p w14:paraId="1866873C">
      <w:pPr>
        <w:numPr>
          <w:ilvl w:val="0"/>
          <w:numId w:val="0"/>
        </w:numPr>
        <w:spacing w:line="600" w:lineRule="exact"/>
        <w:ind w:firstLine="640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评估工作本着客观公正、规范合理的原则，采用全面评价和重点评价相结合的方式开展，在评价流程、方式、内容上保证评估工作的客观。</w:t>
      </w:r>
    </w:p>
    <w:p w14:paraId="5C1B319C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专业性原则</w:t>
      </w:r>
    </w:p>
    <w:p w14:paraId="7D6974D9">
      <w:pPr>
        <w:numPr>
          <w:ilvl w:val="0"/>
          <w:numId w:val="0"/>
        </w:numPr>
        <w:spacing w:line="600" w:lineRule="exact"/>
        <w:ind w:firstLine="640"/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注重考察各类服务的专业价值、理论、方法技巧在执行过程中的运用。</w:t>
      </w:r>
    </w:p>
    <w:p w14:paraId="1A10049A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系统性原则</w:t>
      </w:r>
    </w:p>
    <w:p w14:paraId="2FED5C61">
      <w:pPr>
        <w:numPr>
          <w:ilvl w:val="0"/>
          <w:numId w:val="0"/>
        </w:numPr>
        <w:spacing w:line="600" w:lineRule="exact"/>
        <w:ind w:firstLine="640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全面审查项目、课程、活动的实施情况，包括各项活动安排以及财务内容，坚持系统性的评价方式，确保不会有遗漏。</w:t>
      </w:r>
    </w:p>
    <w:p w14:paraId="1204F6AF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可操作性原则</w:t>
      </w:r>
    </w:p>
    <w:p w14:paraId="16A1E7B8">
      <w:pPr>
        <w:numPr>
          <w:ilvl w:val="0"/>
          <w:numId w:val="0"/>
        </w:numPr>
        <w:spacing w:line="600" w:lineRule="exact"/>
        <w:ind w:firstLine="640"/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评估方法和指标符合项目实际，采取定量与定性相结合，易于操作。</w:t>
      </w:r>
    </w:p>
    <w:p w14:paraId="03ABDAF8">
      <w:pPr>
        <w:numPr>
          <w:ilvl w:val="0"/>
          <w:numId w:val="0"/>
        </w:numPr>
        <w:spacing w:line="600" w:lineRule="exact"/>
        <w:ind w:firstLine="640"/>
        <w:rPr>
          <w:rFonts w:hint="eastAsia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eastAsia="方正仿宋_GB2312" w:cs="Times New Roman"/>
          <w:kern w:val="2"/>
          <w:sz w:val="32"/>
          <w:szCs w:val="32"/>
          <w:lang w:val="en-US" w:eastAsia="zh-CN" w:bidi="ar-SA"/>
        </w:rPr>
        <w:t>2.评价指标体系</w:t>
      </w:r>
    </w:p>
    <w:p w14:paraId="4069278B">
      <w:pPr>
        <w:numPr>
          <w:ilvl w:val="0"/>
          <w:numId w:val="0"/>
        </w:numPr>
        <w:spacing w:line="600" w:lineRule="exact"/>
        <w:ind w:firstLine="640"/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评价指标体系指标依据评估的程序逻辑模型，分别从投入、活动、产出、效果以及财务五个方面来设计和考察。</w:t>
      </w:r>
    </w:p>
    <w:tbl>
      <w:tblPr>
        <w:tblStyle w:val="5"/>
        <w:tblW w:w="4991" w:type="pct"/>
        <w:tblInd w:w="0" w:type="dxa"/>
        <w:tblLayout w:type="autofit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888"/>
        <w:gridCol w:w="2622"/>
        <w:gridCol w:w="3997"/>
      </w:tblGrid>
      <w:tr w14:paraId="5077FFFE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tblHeader/>
        </w:trPr>
        <w:tc>
          <w:tcPr>
            <w:tcW w:w="11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387497C2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一级评估指标</w:t>
            </w:r>
          </w:p>
        </w:tc>
        <w:tc>
          <w:tcPr>
            <w:tcW w:w="15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53F6F2E9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二级评估指标</w:t>
            </w:r>
          </w:p>
        </w:tc>
        <w:tc>
          <w:tcPr>
            <w:tcW w:w="234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BDD6EE" w:themeFill="accent1" w:themeFillTint="66"/>
            <w:vAlign w:val="center"/>
          </w:tcPr>
          <w:p w14:paraId="213CFE12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三级评估指标</w:t>
            </w:r>
          </w:p>
        </w:tc>
      </w:tr>
      <w:tr w14:paraId="33883F50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1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6E980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1.项目投入（15分）</w:t>
            </w:r>
          </w:p>
        </w:tc>
        <w:tc>
          <w:tcPr>
            <w:tcW w:w="1541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7F6428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1.1实施机构（1分）</w:t>
            </w:r>
          </w:p>
        </w:tc>
        <w:tc>
          <w:tcPr>
            <w:tcW w:w="234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158AE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1.1.1机构使命（1分）</w:t>
            </w:r>
          </w:p>
        </w:tc>
      </w:tr>
      <w:tr w14:paraId="0EFA323C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05" w:hRule="exact"/>
        </w:trPr>
        <w:tc>
          <w:tcPr>
            <w:tcW w:w="111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90E09">
            <w:pPr>
              <w:jc w:val="center"/>
              <w:rPr>
                <w:color w:val="000000"/>
              </w:rPr>
            </w:pPr>
          </w:p>
        </w:tc>
        <w:tc>
          <w:tcPr>
            <w:tcW w:w="1541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96863">
            <w:pPr>
              <w:rPr>
                <w:color w:val="000000"/>
              </w:rPr>
            </w:pPr>
          </w:p>
        </w:tc>
        <w:tc>
          <w:tcPr>
            <w:tcW w:w="234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7D436">
            <w:pPr>
              <w:rPr>
                <w:color w:val="000000"/>
              </w:rPr>
            </w:pPr>
          </w:p>
        </w:tc>
      </w:tr>
      <w:tr w14:paraId="07EE184B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1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8F6901">
            <w:pPr>
              <w:jc w:val="center"/>
              <w:rPr>
                <w:color w:val="000000"/>
              </w:rPr>
            </w:pPr>
          </w:p>
        </w:tc>
        <w:tc>
          <w:tcPr>
            <w:tcW w:w="1541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943A01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1.2执行团队（4分）</w:t>
            </w:r>
          </w:p>
        </w:tc>
        <w:tc>
          <w:tcPr>
            <w:tcW w:w="2349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890CB4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1.2.1专职工作人员（1分）</w:t>
            </w:r>
          </w:p>
        </w:tc>
      </w:tr>
      <w:tr w14:paraId="01D40B09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95" w:hRule="exact"/>
        </w:trPr>
        <w:tc>
          <w:tcPr>
            <w:tcW w:w="111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3AB9E">
            <w:pPr>
              <w:jc w:val="center"/>
              <w:rPr>
                <w:color w:val="000000"/>
              </w:rPr>
            </w:pPr>
          </w:p>
        </w:tc>
        <w:tc>
          <w:tcPr>
            <w:tcW w:w="1541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FCDB9">
            <w:pPr>
              <w:rPr>
                <w:color w:val="000000"/>
              </w:rPr>
            </w:pPr>
          </w:p>
        </w:tc>
        <w:tc>
          <w:tcPr>
            <w:tcW w:w="2349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C28AE">
            <w:pPr>
              <w:rPr>
                <w:color w:val="000000"/>
              </w:rPr>
            </w:pPr>
          </w:p>
        </w:tc>
      </w:tr>
      <w:tr w14:paraId="49DA524C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1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70FC1">
            <w:pPr>
              <w:jc w:val="center"/>
              <w:rPr>
                <w:color w:val="000000"/>
              </w:rPr>
            </w:pPr>
          </w:p>
        </w:tc>
        <w:tc>
          <w:tcPr>
            <w:tcW w:w="1541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E6137">
            <w:pPr>
              <w:rPr>
                <w:color w:val="000000"/>
              </w:rPr>
            </w:pPr>
          </w:p>
        </w:tc>
        <w:tc>
          <w:tcPr>
            <w:tcW w:w="234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8DE488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1.2.2志愿者（1分）</w:t>
            </w:r>
          </w:p>
        </w:tc>
      </w:tr>
      <w:tr w14:paraId="68B8635F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1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DAD88">
            <w:pPr>
              <w:jc w:val="center"/>
              <w:rPr>
                <w:color w:val="000000"/>
              </w:rPr>
            </w:pPr>
          </w:p>
        </w:tc>
        <w:tc>
          <w:tcPr>
            <w:tcW w:w="1541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DC30D">
            <w:pPr>
              <w:rPr>
                <w:color w:val="000000"/>
              </w:rPr>
            </w:pPr>
          </w:p>
        </w:tc>
        <w:tc>
          <w:tcPr>
            <w:tcW w:w="234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67A491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1.2.3执行经验（2分）</w:t>
            </w:r>
          </w:p>
        </w:tc>
      </w:tr>
      <w:tr w14:paraId="5A68A826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1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EED00">
            <w:pPr>
              <w:jc w:val="center"/>
              <w:rPr>
                <w:color w:val="000000"/>
              </w:rPr>
            </w:pPr>
          </w:p>
        </w:tc>
        <w:tc>
          <w:tcPr>
            <w:tcW w:w="1541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CD1410">
            <w:r>
              <w:rPr>
                <w:rFonts w:hint="eastAsia"/>
              </w:rPr>
              <w:t>1.3立项论证（8分）</w:t>
            </w:r>
          </w:p>
        </w:tc>
        <w:tc>
          <w:tcPr>
            <w:tcW w:w="234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2AEAB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1.3.1前期调研与论证（1分）</w:t>
            </w:r>
          </w:p>
        </w:tc>
      </w:tr>
      <w:tr w14:paraId="53E22F58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1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010A0">
            <w:pPr>
              <w:jc w:val="center"/>
              <w:rPr>
                <w:color w:val="000000"/>
              </w:rPr>
            </w:pPr>
          </w:p>
        </w:tc>
        <w:tc>
          <w:tcPr>
            <w:tcW w:w="1541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F92B4"/>
        </w:tc>
        <w:tc>
          <w:tcPr>
            <w:tcW w:w="234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FF9842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1.3.2需求及服务对象（1分）</w:t>
            </w:r>
          </w:p>
        </w:tc>
      </w:tr>
      <w:tr w14:paraId="69D035C1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55" w:hRule="exact"/>
        </w:trPr>
        <w:tc>
          <w:tcPr>
            <w:tcW w:w="111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61BD9">
            <w:pPr>
              <w:jc w:val="center"/>
              <w:rPr>
                <w:color w:val="000000"/>
              </w:rPr>
            </w:pPr>
          </w:p>
        </w:tc>
        <w:tc>
          <w:tcPr>
            <w:tcW w:w="1541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4F4F0"/>
        </w:tc>
        <w:tc>
          <w:tcPr>
            <w:tcW w:w="234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538C4F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1.3.3需求程度与目标一致性（2分）</w:t>
            </w:r>
          </w:p>
        </w:tc>
      </w:tr>
      <w:tr w14:paraId="67E33612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1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3550D">
            <w:pPr>
              <w:jc w:val="center"/>
              <w:rPr>
                <w:color w:val="000000"/>
              </w:rPr>
            </w:pPr>
          </w:p>
        </w:tc>
        <w:tc>
          <w:tcPr>
            <w:tcW w:w="1541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B700"/>
        </w:tc>
        <w:tc>
          <w:tcPr>
            <w:tcW w:w="234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9771A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1.3.4执行方案（3分）</w:t>
            </w:r>
          </w:p>
        </w:tc>
      </w:tr>
      <w:tr w14:paraId="07E7F37F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1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2329C">
            <w:pPr>
              <w:jc w:val="center"/>
              <w:rPr>
                <w:color w:val="000000"/>
              </w:rPr>
            </w:pPr>
          </w:p>
        </w:tc>
        <w:tc>
          <w:tcPr>
            <w:tcW w:w="1541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ADB54"/>
        </w:tc>
        <w:tc>
          <w:tcPr>
            <w:tcW w:w="234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A9948B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1.3.5创新性（1分）</w:t>
            </w:r>
          </w:p>
        </w:tc>
      </w:tr>
      <w:tr w14:paraId="5747E982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1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BE010">
            <w:pPr>
              <w:jc w:val="center"/>
              <w:rPr>
                <w:color w:val="000000"/>
              </w:rPr>
            </w:pPr>
          </w:p>
        </w:tc>
        <w:tc>
          <w:tcPr>
            <w:tcW w:w="154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3D0CB4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1.4项目管理（2分）</w:t>
            </w:r>
          </w:p>
        </w:tc>
        <w:tc>
          <w:tcPr>
            <w:tcW w:w="234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19528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1.4.1管理制度（2分）</w:t>
            </w:r>
          </w:p>
        </w:tc>
      </w:tr>
      <w:tr w14:paraId="67916223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96" w:hRule="exact"/>
        </w:trPr>
        <w:tc>
          <w:tcPr>
            <w:tcW w:w="111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9E362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2.项目活动</w:t>
            </w:r>
          </w:p>
          <w:p w14:paraId="37D34B8B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（25分）</w:t>
            </w:r>
          </w:p>
        </w:tc>
        <w:tc>
          <w:tcPr>
            <w:tcW w:w="1541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8B90E1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2.1过程的科学（14分）</w:t>
            </w:r>
          </w:p>
        </w:tc>
        <w:tc>
          <w:tcPr>
            <w:tcW w:w="234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9BCF3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2.1.1服务对象或受益人遴选标准</w:t>
            </w:r>
            <w:r>
              <w:rPr>
                <w:rFonts w:hint="eastAsia"/>
                <w:color w:val="000000"/>
              </w:rPr>
              <w:br w:type="textWrapping"/>
            </w:r>
            <w:r>
              <w:rPr>
                <w:rFonts w:hint="eastAsia"/>
                <w:color w:val="000000"/>
              </w:rPr>
              <w:t>（3分）</w:t>
            </w:r>
          </w:p>
        </w:tc>
      </w:tr>
      <w:tr w14:paraId="769DEF18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1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E31576">
            <w:pPr>
              <w:jc w:val="center"/>
              <w:rPr>
                <w:color w:val="000000"/>
              </w:rPr>
            </w:pPr>
          </w:p>
        </w:tc>
        <w:tc>
          <w:tcPr>
            <w:tcW w:w="1541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D06B7">
            <w:pPr>
              <w:rPr>
                <w:color w:val="000000"/>
              </w:rPr>
            </w:pPr>
          </w:p>
        </w:tc>
        <w:tc>
          <w:tcPr>
            <w:tcW w:w="234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77475D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2.1.2运作模式（7分）</w:t>
            </w:r>
          </w:p>
        </w:tc>
      </w:tr>
      <w:tr w14:paraId="235FC9EE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27" w:hRule="exact"/>
        </w:trPr>
        <w:tc>
          <w:tcPr>
            <w:tcW w:w="111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5B7EA">
            <w:pPr>
              <w:jc w:val="center"/>
              <w:rPr>
                <w:color w:val="000000"/>
              </w:rPr>
            </w:pPr>
          </w:p>
        </w:tc>
        <w:tc>
          <w:tcPr>
            <w:tcW w:w="1541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246FA1">
            <w:pPr>
              <w:rPr>
                <w:color w:val="000000"/>
              </w:rPr>
            </w:pPr>
          </w:p>
        </w:tc>
        <w:tc>
          <w:tcPr>
            <w:tcW w:w="234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98893C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2.1.3关键环节把握的科学性（4分）</w:t>
            </w:r>
          </w:p>
        </w:tc>
      </w:tr>
      <w:tr w14:paraId="40927D90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71" w:hRule="exact"/>
        </w:trPr>
        <w:tc>
          <w:tcPr>
            <w:tcW w:w="111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8D08D">
            <w:pPr>
              <w:jc w:val="center"/>
              <w:rPr>
                <w:color w:val="000000"/>
              </w:rPr>
            </w:pPr>
          </w:p>
        </w:tc>
        <w:tc>
          <w:tcPr>
            <w:tcW w:w="1541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D0BCBF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2.2执行的有效（11分）</w:t>
            </w:r>
          </w:p>
        </w:tc>
        <w:tc>
          <w:tcPr>
            <w:tcW w:w="234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7485A3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2.2.1进度和服务对象管理（2分）</w:t>
            </w:r>
          </w:p>
        </w:tc>
      </w:tr>
      <w:tr w14:paraId="32FDC63E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1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510A4">
            <w:pPr>
              <w:jc w:val="center"/>
              <w:rPr>
                <w:color w:val="000000"/>
              </w:rPr>
            </w:pPr>
          </w:p>
        </w:tc>
        <w:tc>
          <w:tcPr>
            <w:tcW w:w="1541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24BBB">
            <w:pPr>
              <w:rPr>
                <w:color w:val="000000"/>
              </w:rPr>
            </w:pPr>
          </w:p>
        </w:tc>
        <w:tc>
          <w:tcPr>
            <w:tcW w:w="234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433E12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2.2.2档案管理（2分）</w:t>
            </w:r>
          </w:p>
        </w:tc>
      </w:tr>
      <w:tr w14:paraId="3261E367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47" w:hRule="exact"/>
        </w:trPr>
        <w:tc>
          <w:tcPr>
            <w:tcW w:w="111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BD4238">
            <w:pPr>
              <w:jc w:val="center"/>
              <w:rPr>
                <w:color w:val="000000"/>
              </w:rPr>
            </w:pPr>
          </w:p>
        </w:tc>
        <w:tc>
          <w:tcPr>
            <w:tcW w:w="1541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D1777">
            <w:pPr>
              <w:rPr>
                <w:color w:val="000000"/>
              </w:rPr>
            </w:pPr>
          </w:p>
        </w:tc>
        <w:tc>
          <w:tcPr>
            <w:tcW w:w="234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51F7C4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2.2.3过程管理与监督的规范性与有效性（2分）</w:t>
            </w:r>
          </w:p>
        </w:tc>
      </w:tr>
      <w:tr w14:paraId="4EE7D80E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1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795E3">
            <w:pPr>
              <w:jc w:val="center"/>
              <w:rPr>
                <w:color w:val="000000"/>
              </w:rPr>
            </w:pPr>
          </w:p>
        </w:tc>
        <w:tc>
          <w:tcPr>
            <w:tcW w:w="1541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F6DB8">
            <w:pPr>
              <w:rPr>
                <w:color w:val="000000"/>
              </w:rPr>
            </w:pPr>
          </w:p>
        </w:tc>
        <w:tc>
          <w:tcPr>
            <w:tcW w:w="234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1DBB30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2.2.4服务的专业性（5分）</w:t>
            </w:r>
          </w:p>
        </w:tc>
      </w:tr>
      <w:tr w14:paraId="6F3797BE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1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4AEB8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3.项目产出</w:t>
            </w:r>
          </w:p>
          <w:p w14:paraId="0CE603F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（10分）</w:t>
            </w:r>
          </w:p>
        </w:tc>
        <w:tc>
          <w:tcPr>
            <w:tcW w:w="154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8BDA27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3.1数量（4分）</w:t>
            </w:r>
          </w:p>
        </w:tc>
        <w:tc>
          <w:tcPr>
            <w:tcW w:w="234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681FA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3.1.1产出数量（4分）</w:t>
            </w:r>
          </w:p>
        </w:tc>
      </w:tr>
      <w:tr w14:paraId="5309E91B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1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92638">
            <w:pPr>
              <w:jc w:val="center"/>
              <w:rPr>
                <w:color w:val="000000"/>
              </w:rPr>
            </w:pPr>
          </w:p>
        </w:tc>
        <w:tc>
          <w:tcPr>
            <w:tcW w:w="154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7DC2AF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3.2质量（6分）</w:t>
            </w:r>
          </w:p>
        </w:tc>
        <w:tc>
          <w:tcPr>
            <w:tcW w:w="234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D6AD6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3.2.2产出质量（6分）</w:t>
            </w:r>
          </w:p>
        </w:tc>
      </w:tr>
      <w:tr w14:paraId="6D6BCE52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1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A98061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4.项目效果</w:t>
            </w:r>
          </w:p>
          <w:p w14:paraId="1EE5A3BA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（30分）</w:t>
            </w:r>
          </w:p>
        </w:tc>
        <w:tc>
          <w:tcPr>
            <w:tcW w:w="154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FF3BFE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4.1目标实现（6分）</w:t>
            </w:r>
          </w:p>
        </w:tc>
        <w:tc>
          <w:tcPr>
            <w:tcW w:w="234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5BBBB1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4.1.1目标实现程度（6分）</w:t>
            </w:r>
          </w:p>
        </w:tc>
      </w:tr>
      <w:tr w14:paraId="3EE33DC9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1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BE5EA">
            <w:pPr>
              <w:jc w:val="center"/>
              <w:rPr>
                <w:color w:val="000000"/>
              </w:rPr>
            </w:pPr>
          </w:p>
        </w:tc>
        <w:tc>
          <w:tcPr>
            <w:tcW w:w="1541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89DE92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4.2项目影响（16分）</w:t>
            </w:r>
          </w:p>
        </w:tc>
        <w:tc>
          <w:tcPr>
            <w:tcW w:w="2349" w:type="pc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479355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4.2.1资源整合能力（5分）</w:t>
            </w:r>
          </w:p>
        </w:tc>
      </w:tr>
      <w:tr w14:paraId="6E1E8FDB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1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B40805">
            <w:pPr>
              <w:jc w:val="center"/>
              <w:rPr>
                <w:color w:val="000000"/>
              </w:rPr>
            </w:pPr>
          </w:p>
        </w:tc>
        <w:tc>
          <w:tcPr>
            <w:tcW w:w="1541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567A726">
            <w:pPr>
              <w:rPr>
                <w:color w:val="000000"/>
              </w:rPr>
            </w:pPr>
          </w:p>
        </w:tc>
        <w:tc>
          <w:tcPr>
            <w:tcW w:w="2349" w:type="pc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350A78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4.2.2可持续影响力（5分）</w:t>
            </w:r>
          </w:p>
        </w:tc>
      </w:tr>
      <w:tr w14:paraId="3DBE8B30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1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D5F0E">
            <w:pPr>
              <w:jc w:val="center"/>
              <w:rPr>
                <w:color w:val="000000"/>
              </w:rPr>
            </w:pPr>
          </w:p>
        </w:tc>
        <w:tc>
          <w:tcPr>
            <w:tcW w:w="1541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5D362062">
            <w:pPr>
              <w:rPr>
                <w:color w:val="000000"/>
              </w:rPr>
            </w:pPr>
          </w:p>
        </w:tc>
        <w:tc>
          <w:tcPr>
            <w:tcW w:w="234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F866D3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4.2.1媒体报道（2分）</w:t>
            </w:r>
          </w:p>
        </w:tc>
      </w:tr>
      <w:tr w14:paraId="023EB179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1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5DF01">
            <w:pPr>
              <w:jc w:val="center"/>
              <w:rPr>
                <w:color w:val="000000"/>
              </w:rPr>
            </w:pPr>
          </w:p>
        </w:tc>
        <w:tc>
          <w:tcPr>
            <w:tcW w:w="1541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7F3BB4B4">
            <w:pPr>
              <w:rPr>
                <w:color w:val="000000"/>
              </w:rPr>
            </w:pPr>
          </w:p>
        </w:tc>
        <w:tc>
          <w:tcPr>
            <w:tcW w:w="234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7C78E6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4.2.2荣誉或奖励（2分）</w:t>
            </w:r>
          </w:p>
        </w:tc>
      </w:tr>
      <w:tr w14:paraId="6FEC2753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1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A7FFB">
            <w:pPr>
              <w:jc w:val="center"/>
              <w:rPr>
                <w:color w:val="000000"/>
              </w:rPr>
            </w:pPr>
          </w:p>
        </w:tc>
        <w:tc>
          <w:tcPr>
            <w:tcW w:w="1541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1D2D83DB">
            <w:pPr>
              <w:rPr>
                <w:color w:val="000000"/>
              </w:rPr>
            </w:pPr>
          </w:p>
        </w:tc>
        <w:tc>
          <w:tcPr>
            <w:tcW w:w="234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005C41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4.2.3投诉与违规情况（2分）</w:t>
            </w:r>
          </w:p>
        </w:tc>
      </w:tr>
      <w:tr w14:paraId="46A09AB1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68" w:hRule="exact"/>
        </w:trPr>
        <w:tc>
          <w:tcPr>
            <w:tcW w:w="111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C356E2">
            <w:pPr>
              <w:jc w:val="center"/>
              <w:rPr>
                <w:color w:val="000000"/>
              </w:rPr>
            </w:pPr>
          </w:p>
        </w:tc>
        <w:tc>
          <w:tcPr>
            <w:tcW w:w="1541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D6FC11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4.3相关方反馈（8分）</w:t>
            </w:r>
          </w:p>
        </w:tc>
        <w:tc>
          <w:tcPr>
            <w:tcW w:w="234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BD1148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4.3.1服务对象反馈渠道及诉求解决（4分）</w:t>
            </w:r>
          </w:p>
        </w:tc>
      </w:tr>
      <w:tr w14:paraId="4EB5614A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01" w:hRule="exact"/>
        </w:trPr>
        <w:tc>
          <w:tcPr>
            <w:tcW w:w="111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FFACC">
            <w:pPr>
              <w:jc w:val="center"/>
              <w:rPr>
                <w:color w:val="000000"/>
              </w:rPr>
            </w:pPr>
          </w:p>
        </w:tc>
        <w:tc>
          <w:tcPr>
            <w:tcW w:w="1541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50855">
            <w:pPr>
              <w:rPr>
                <w:color w:val="000000"/>
              </w:rPr>
            </w:pPr>
          </w:p>
        </w:tc>
        <w:tc>
          <w:tcPr>
            <w:tcW w:w="234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7C87B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4.3.2落地街乡妇联反馈渠道及问题解决（4分）</w:t>
            </w:r>
          </w:p>
        </w:tc>
      </w:tr>
      <w:tr w14:paraId="057B00BB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10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8733A9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5.项目财务</w:t>
            </w:r>
          </w:p>
          <w:p w14:paraId="6E4EBF71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（20分）</w:t>
            </w:r>
          </w:p>
        </w:tc>
        <w:tc>
          <w:tcPr>
            <w:tcW w:w="154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B7D7F1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5.1财务制度（2分）</w:t>
            </w:r>
          </w:p>
        </w:tc>
        <w:tc>
          <w:tcPr>
            <w:tcW w:w="234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974F0A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5.1.1建立财务管理制度（2分）</w:t>
            </w:r>
          </w:p>
        </w:tc>
      </w:tr>
      <w:tr w14:paraId="004161E1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1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8E211">
            <w:pPr>
              <w:jc w:val="center"/>
              <w:rPr>
                <w:color w:val="000000"/>
              </w:rPr>
            </w:pPr>
          </w:p>
        </w:tc>
        <w:tc>
          <w:tcPr>
            <w:tcW w:w="1541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2AA930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5.2财务管理的合规性（8分）</w:t>
            </w:r>
          </w:p>
        </w:tc>
        <w:tc>
          <w:tcPr>
            <w:tcW w:w="234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674D46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5.2.1会计核算规范完整（3分）</w:t>
            </w:r>
          </w:p>
        </w:tc>
      </w:tr>
      <w:tr w14:paraId="2CE06A59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97" w:hRule="exact"/>
        </w:trPr>
        <w:tc>
          <w:tcPr>
            <w:tcW w:w="111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C9056">
            <w:pPr>
              <w:jc w:val="center"/>
              <w:rPr>
                <w:color w:val="000000"/>
              </w:rPr>
            </w:pPr>
          </w:p>
        </w:tc>
        <w:tc>
          <w:tcPr>
            <w:tcW w:w="1541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1510F">
            <w:pPr>
              <w:rPr>
                <w:color w:val="000000"/>
              </w:rPr>
            </w:pPr>
          </w:p>
        </w:tc>
        <w:tc>
          <w:tcPr>
            <w:tcW w:w="234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82901B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5.2.2资金使用流程和范围合规（5分）</w:t>
            </w:r>
          </w:p>
        </w:tc>
      </w:tr>
      <w:tr w14:paraId="6075DCD2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46" w:hRule="exact"/>
        </w:trPr>
        <w:tc>
          <w:tcPr>
            <w:tcW w:w="111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1A3CF">
            <w:pPr>
              <w:jc w:val="center"/>
              <w:rPr>
                <w:color w:val="000000"/>
              </w:rPr>
            </w:pPr>
          </w:p>
        </w:tc>
        <w:tc>
          <w:tcPr>
            <w:tcW w:w="1541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FE2339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5.3财务资金使用的合理性（10分）</w:t>
            </w:r>
          </w:p>
        </w:tc>
        <w:tc>
          <w:tcPr>
            <w:tcW w:w="234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9DA4E4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5.3.1资金执行效率（5分）</w:t>
            </w:r>
          </w:p>
        </w:tc>
      </w:tr>
      <w:tr w14:paraId="0D432BC5">
        <w:tblPrEx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110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C0A22">
            <w:pPr>
              <w:rPr>
                <w:color w:val="000000"/>
              </w:rPr>
            </w:pPr>
          </w:p>
        </w:tc>
        <w:tc>
          <w:tcPr>
            <w:tcW w:w="1541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D6066">
            <w:pPr>
              <w:rPr>
                <w:color w:val="000000"/>
              </w:rPr>
            </w:pPr>
          </w:p>
        </w:tc>
        <w:tc>
          <w:tcPr>
            <w:tcW w:w="234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24BC26">
            <w:pPr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5.3.2财务支出审批程序（5分）</w:t>
            </w:r>
          </w:p>
        </w:tc>
      </w:tr>
    </w:tbl>
    <w:p w14:paraId="6F91111D">
      <w:pPr>
        <w:numPr>
          <w:ilvl w:val="0"/>
          <w:numId w:val="0"/>
        </w:numPr>
        <w:spacing w:line="600" w:lineRule="exact"/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</w:pPr>
      <w:bookmarkStart w:id="0" w:name="_GoBack"/>
      <w:bookmarkEnd w:id="0"/>
    </w:p>
    <w:p w14:paraId="5905F079"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eastAsia="方正仿宋_GB2312" w:cs="Times New Roman"/>
          <w:kern w:val="2"/>
          <w:sz w:val="32"/>
          <w:szCs w:val="32"/>
          <w:lang w:val="en-US" w:eastAsia="zh-CN" w:bidi="ar-SA"/>
        </w:rPr>
        <w:t>3.评价方法</w:t>
      </w:r>
    </w:p>
    <w:p w14:paraId="7D724B52"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（1）</w:t>
      </w: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实地监测</w:t>
      </w:r>
    </w:p>
    <w:p w14:paraId="04916744">
      <w:pPr>
        <w:numPr>
          <w:ilvl w:val="0"/>
          <w:numId w:val="0"/>
        </w:numPr>
        <w:spacing w:line="600" w:lineRule="exact"/>
        <w:ind w:firstLine="640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根据各项目的具体绩效指标，随机抽取各项目、课程、活动中的某次活动，进行实地查看，对项目活动进行实地监测；在实地查看时，对项目活动的服务对象进行满意度测评。</w:t>
      </w:r>
    </w:p>
    <w:p w14:paraId="6B2D7411">
      <w:pPr>
        <w:numPr>
          <w:ilvl w:val="0"/>
          <w:numId w:val="0"/>
        </w:numPr>
        <w:spacing w:line="240" w:lineRule="auto"/>
        <w:ind w:left="0" w:leftChars="0"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（2）</w:t>
      </w:r>
      <w:r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专家评审</w:t>
      </w:r>
    </w:p>
    <w:p w14:paraId="142ED657">
      <w:pPr>
        <w:numPr>
          <w:ilvl w:val="0"/>
          <w:numId w:val="0"/>
        </w:numPr>
        <w:spacing w:line="600" w:lineRule="exact"/>
        <w:ind w:firstLine="640"/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专家通过到项目执行方办公所在地或视频会议的方式，听取各项目、课程、活动执行方的汇报，就目标达成、执行过程、服务效果等具体细节进行交流沟通，并对整体情况进行客观的反馈和评价。</w:t>
      </w:r>
    </w:p>
    <w:p w14:paraId="17AC3C61">
      <w:pPr>
        <w:spacing w:line="600" w:lineRule="exact"/>
        <w:ind w:firstLine="640" w:firstLineChars="200"/>
        <w:rPr>
          <w:rFonts w:hint="eastAsia" w:ascii="方正楷体_GB2312" w:hAnsi="方正楷体_GB2312" w:eastAsia="方正楷体_GB2312" w:cs="方正楷体_GB2312"/>
          <w:sz w:val="32"/>
          <w:szCs w:val="32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  <w:lang w:eastAsia="zh-CN"/>
        </w:rPr>
        <w:t>（</w:t>
      </w:r>
      <w:r>
        <w:rPr>
          <w:rFonts w:hint="eastAsia" w:ascii="方正楷体_GB2312" w:hAnsi="方正楷体_GB2312" w:eastAsia="方正楷体_GB2312" w:cs="方正楷体_GB2312"/>
          <w:sz w:val="32"/>
          <w:szCs w:val="32"/>
          <w:lang w:val="en-US" w:eastAsia="zh-CN"/>
        </w:rPr>
        <w:t>三</w:t>
      </w:r>
      <w:r>
        <w:rPr>
          <w:rFonts w:hint="eastAsia" w:ascii="方正楷体_GB2312" w:hAnsi="方正楷体_GB2312" w:eastAsia="方正楷体_GB2312" w:cs="方正楷体_GB2312"/>
          <w:sz w:val="32"/>
          <w:szCs w:val="32"/>
          <w:lang w:eastAsia="zh-CN"/>
        </w:rPr>
        <w:t>）</w:t>
      </w:r>
      <w:r>
        <w:rPr>
          <w:rFonts w:hint="eastAsia" w:ascii="方正楷体_GB2312" w:hAnsi="方正楷体_GB2312" w:eastAsia="方正楷体_GB2312" w:cs="方正楷体_GB2312"/>
          <w:sz w:val="32"/>
          <w:szCs w:val="32"/>
        </w:rPr>
        <w:t>绩效评价工作过程</w:t>
      </w:r>
    </w:p>
    <w:p w14:paraId="4C8A1C80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1.开展绩效评估准备工作。</w:t>
      </w:r>
    </w:p>
    <w:p w14:paraId="27F7913D">
      <w:pPr>
        <w:numPr>
          <w:ilvl w:val="0"/>
          <w:numId w:val="0"/>
        </w:numPr>
        <w:spacing w:line="600" w:lineRule="exact"/>
        <w:ind w:firstLine="640"/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各项目、课程、活动的申报工作结束后，及时收集其申报方案和协议，了解项目的开展内容，明确项目目标、实施进度。</w:t>
      </w:r>
    </w:p>
    <w:p w14:paraId="56478E80">
      <w:pPr>
        <w:spacing w:line="560" w:lineRule="exact"/>
        <w:ind w:firstLine="640" w:firstLineChars="200"/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2.收集和审核项目资料。</w:t>
      </w:r>
    </w:p>
    <w:p w14:paraId="772D6C00">
      <w:pPr>
        <w:numPr>
          <w:ilvl w:val="0"/>
          <w:numId w:val="0"/>
        </w:numPr>
        <w:spacing w:line="600" w:lineRule="exact"/>
        <w:ind w:firstLine="640"/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项目执行完毕后，对评估资料进行收集，并对项目结项报告等资料进行核查。</w:t>
      </w:r>
    </w:p>
    <w:p w14:paraId="46009552">
      <w:pPr>
        <w:numPr>
          <w:ilvl w:val="0"/>
          <w:numId w:val="0"/>
        </w:numPr>
        <w:spacing w:line="600" w:lineRule="exact"/>
        <w:ind w:leftChars="200" w:firstLine="320" w:firstLineChars="1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综合评价情况及评价结论</w:t>
      </w:r>
    </w:p>
    <w:p w14:paraId="11341F16">
      <w:pPr>
        <w:numPr>
          <w:ilvl w:val="0"/>
          <w:numId w:val="0"/>
        </w:numPr>
        <w:spacing w:line="600" w:lineRule="exact"/>
        <w:ind w:firstLine="640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202</w:t>
      </w:r>
      <w:r>
        <w:rPr>
          <w:rFonts w:hint="eastAsia" w:eastAsia="方正仿宋_GB2312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年妇女之家工作经费所开展各项目、课程、活动的服务对象符合妇联工作领域的目标人群，提供了较为丰富多元、专业有效的服务活动。项目执行进度整体上较好，服务人数符合计划要求。完成了设定的绩效目标，综合打分100分。</w:t>
      </w:r>
    </w:p>
    <w:p w14:paraId="259D9959"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四、绩效评价指标分析</w:t>
      </w:r>
    </w:p>
    <w:p w14:paraId="380293E3">
      <w:pPr>
        <w:spacing w:line="600" w:lineRule="exact"/>
        <w:ind w:firstLine="640" w:firstLineChars="200"/>
        <w:rPr>
          <w:rFonts w:hint="eastAsia" w:ascii="方正楷体_GB2312" w:hAnsi="方正楷体_GB2312" w:eastAsia="方正楷体_GB2312" w:cs="方正楷体_GB2312"/>
          <w:sz w:val="32"/>
          <w:szCs w:val="32"/>
          <w:lang w:eastAsia="zh-CN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  <w:lang w:eastAsia="zh-CN"/>
        </w:rPr>
        <w:t>（一）项目决策情况。</w:t>
      </w:r>
    </w:p>
    <w:p w14:paraId="76E8113B">
      <w:pPr>
        <w:numPr>
          <w:ilvl w:val="0"/>
          <w:numId w:val="0"/>
        </w:numPr>
        <w:spacing w:line="600" w:lineRule="exact"/>
        <w:ind w:firstLine="640"/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各项目、课程和活动在组织和执行过程中，在完成具体绩效指标的情况下，围绕服务目标设计各类活动，层层递进，逐步开展，有效实现了科学决策。</w:t>
      </w:r>
    </w:p>
    <w:p w14:paraId="09BCF6D4">
      <w:pPr>
        <w:spacing w:line="600" w:lineRule="exact"/>
        <w:ind w:firstLine="640" w:firstLineChars="200"/>
        <w:rPr>
          <w:rFonts w:hint="eastAsia" w:ascii="方正楷体_GB2312" w:hAnsi="方正楷体_GB2312" w:eastAsia="方正楷体_GB2312" w:cs="方正楷体_GB2312"/>
          <w:sz w:val="32"/>
          <w:szCs w:val="32"/>
          <w:lang w:eastAsia="zh-CN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  <w:lang w:eastAsia="zh-CN"/>
        </w:rPr>
        <w:t>（二）项目过程情况</w:t>
      </w:r>
    </w:p>
    <w:p w14:paraId="609AD7D7">
      <w:pPr>
        <w:numPr>
          <w:ilvl w:val="0"/>
          <w:numId w:val="0"/>
        </w:numPr>
        <w:spacing w:line="600" w:lineRule="exact"/>
        <w:ind w:firstLine="640"/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各项目、课程、活动的能够依据工作量及工作重要性合理地投入人力资源，执行团队的人员职责和分工明确，投入的人力资源能够满足项目内容需要，保障各项目、课程、活动的正常开展和完成。</w:t>
      </w:r>
    </w:p>
    <w:p w14:paraId="3CB4E8F4">
      <w:pPr>
        <w:spacing w:line="600" w:lineRule="exact"/>
        <w:ind w:firstLine="640" w:firstLineChars="200"/>
        <w:rPr>
          <w:rFonts w:hint="eastAsia" w:ascii="方正楷体_GB2312" w:hAnsi="方正楷体_GB2312" w:eastAsia="方正楷体_GB2312" w:cs="方正楷体_GB2312"/>
          <w:sz w:val="32"/>
          <w:szCs w:val="32"/>
          <w:lang w:eastAsia="zh-CN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  <w:lang w:eastAsia="zh-CN"/>
        </w:rPr>
        <w:t>（三）项目产出情况</w:t>
      </w:r>
    </w:p>
    <w:p w14:paraId="6171762A">
      <w:pPr>
        <w:spacing w:line="560" w:lineRule="exact"/>
        <w:ind w:firstLine="640" w:firstLineChars="200"/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1.产出数量</w:t>
      </w:r>
    </w:p>
    <w:p w14:paraId="6389EBF6">
      <w:pPr>
        <w:numPr>
          <w:ilvl w:val="0"/>
          <w:numId w:val="0"/>
        </w:numPr>
        <w:spacing w:line="600" w:lineRule="exact"/>
        <w:ind w:firstLine="640"/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107个项目</w:t>
      </w:r>
      <w:r>
        <w:rPr>
          <w:rFonts w:hint="eastAsia" w:eastAsia="方正仿宋_GB2312" w:cs="Times New Roman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开展1749次服务活动。在服务人数方面，各项目、活动和课程在服务周期内，实际服务121439人，间接服务291941人，总受益人数达413380人；直接受益人次达447956人次，间接受益人次达953170人次，总受益人次达1401126人次。。</w:t>
      </w:r>
    </w:p>
    <w:p w14:paraId="6870DC60">
      <w:pPr>
        <w:spacing w:line="560" w:lineRule="exact"/>
        <w:ind w:firstLine="640" w:firstLineChars="200"/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2.产出质量</w:t>
      </w:r>
    </w:p>
    <w:p w14:paraId="4D6E8EC0">
      <w:pPr>
        <w:numPr>
          <w:ilvl w:val="0"/>
          <w:numId w:val="0"/>
        </w:numPr>
        <w:spacing w:line="600" w:lineRule="exact"/>
        <w:ind w:firstLine="64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朝阳区妇女之家工作经费开展的项目、课程、活动以及其他类型的服务，实施过程的方案、照片、会议纪要、签到表等资料较详实、齐全，能够反映项目执行情况；产出的课件、视频、画册、报告，以及协议中约定的其他类型产品，质量合格。</w:t>
      </w:r>
    </w:p>
    <w:p w14:paraId="5432B697">
      <w:pPr>
        <w:spacing w:line="600" w:lineRule="exact"/>
        <w:ind w:firstLine="640" w:firstLineChars="200"/>
        <w:rPr>
          <w:rFonts w:hint="eastAsia" w:ascii="方正楷体_GB2312" w:hAnsi="方正楷体_GB2312" w:eastAsia="方正楷体_GB2312" w:cs="方正楷体_GB2312"/>
          <w:sz w:val="32"/>
          <w:szCs w:val="32"/>
          <w:lang w:eastAsia="zh-CN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  <w:lang w:val="en-US" w:eastAsia="zh-CN"/>
        </w:rPr>
        <w:t>(四）</w:t>
      </w:r>
      <w:r>
        <w:rPr>
          <w:rFonts w:hint="eastAsia" w:ascii="方正楷体_GB2312" w:hAnsi="方正楷体_GB2312" w:eastAsia="方正楷体_GB2312" w:cs="方正楷体_GB2312"/>
          <w:sz w:val="32"/>
          <w:szCs w:val="32"/>
          <w:lang w:eastAsia="zh-CN"/>
        </w:rPr>
        <w:t>项目效益情况</w:t>
      </w:r>
    </w:p>
    <w:p w14:paraId="1E5A38AD">
      <w:pPr>
        <w:numPr>
          <w:ilvl w:val="0"/>
          <w:numId w:val="0"/>
        </w:numPr>
        <w:spacing w:line="600" w:lineRule="exact"/>
        <w:ind w:firstLine="640"/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项目得社会效益主要从解决或缓解社会问题、社会影响力两方面考察，项目在实施过程中，通过不同的服务路径和方式，瞄准项目目标和要达成的预期效果，经过专业设计和组织、开展具体服务或活动、过程监测、总结反思等环节，使服务对象从知识、行为、态度、认知等不同层面发生正向改变，从而缓解或解决社会问题；社会影响力方面主要是媒体报道、项目在本地区内的知晓度，通过多媒体的宣传，不断扩大朝阳区妇联在妇女儿童公益服务领域的社会影响力。</w:t>
      </w:r>
    </w:p>
    <w:p w14:paraId="38DA0174">
      <w:pPr>
        <w:spacing w:line="240" w:lineRule="auto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五、主要经验及做法、存在的问题及原因分析</w:t>
      </w:r>
    </w:p>
    <w:p w14:paraId="0F09EEC4">
      <w:pPr>
        <w:spacing w:line="560" w:lineRule="exact"/>
        <w:ind w:firstLine="640" w:firstLineChars="200"/>
        <w:rPr>
          <w:rFonts w:hint="default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1.主要经验</w:t>
      </w:r>
    </w:p>
    <w:p w14:paraId="1BA43E08">
      <w:pPr>
        <w:numPr>
          <w:ilvl w:val="0"/>
          <w:numId w:val="0"/>
        </w:numPr>
        <w:spacing w:line="600" w:lineRule="exact"/>
        <w:ind w:firstLine="640"/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一是项目实施的绩效指标完成度高，项目目标实现度较好。</w:t>
      </w:r>
    </w:p>
    <w:p w14:paraId="4D1FFA98">
      <w:pPr>
        <w:numPr>
          <w:ilvl w:val="0"/>
          <w:numId w:val="0"/>
        </w:numPr>
        <w:spacing w:line="600" w:lineRule="exact"/>
        <w:ind w:firstLine="640"/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二是项目开展的“杠杆”作用较强，有效整合了社会资源。</w:t>
      </w:r>
    </w:p>
    <w:p w14:paraId="18A47FB2">
      <w:pPr>
        <w:numPr>
          <w:ilvl w:val="0"/>
          <w:numId w:val="0"/>
        </w:numPr>
        <w:spacing w:line="600" w:lineRule="exact"/>
        <w:ind w:firstLine="640"/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三是部分项目面向和服务基层，取得了良好的社会效益。</w:t>
      </w:r>
    </w:p>
    <w:p w14:paraId="4A881559">
      <w:pPr>
        <w:numPr>
          <w:ilvl w:val="0"/>
          <w:numId w:val="0"/>
        </w:numPr>
        <w:spacing w:line="600" w:lineRule="exact"/>
        <w:ind w:firstLine="640"/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四是服务对象的满意度高。</w:t>
      </w:r>
    </w:p>
    <w:p w14:paraId="546D1BCB">
      <w:pPr>
        <w:spacing w:line="560" w:lineRule="exact"/>
        <w:ind w:firstLine="640" w:firstLineChars="200"/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eastAsia="方正仿宋_GB2312" w:cs="Times New Roman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Times New Roman" w:hAnsi="Times New Roman" w:eastAsia="方正仿宋_GB2312" w:cs="Times New Roman"/>
          <w:kern w:val="2"/>
          <w:sz w:val="32"/>
          <w:szCs w:val="32"/>
          <w:lang w:val="en-US" w:eastAsia="zh-CN" w:bidi="ar-SA"/>
        </w:rPr>
        <w:t>存在问题</w:t>
      </w:r>
    </w:p>
    <w:p w14:paraId="094743DF">
      <w:pPr>
        <w:numPr>
          <w:ilvl w:val="0"/>
          <w:numId w:val="0"/>
        </w:numPr>
        <w:spacing w:line="600" w:lineRule="exact"/>
        <w:rPr>
          <w:rFonts w:hint="default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  无。</w:t>
      </w:r>
    </w:p>
    <w:p w14:paraId="633D359C">
      <w:pPr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六、有关建议</w:t>
      </w:r>
    </w:p>
    <w:p w14:paraId="16FA0859">
      <w:pPr>
        <w:spacing w:line="600" w:lineRule="exact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无。</w:t>
      </w:r>
    </w:p>
    <w:p w14:paraId="2A529FD2">
      <w:pPr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七、其他需要说明的问题</w:t>
      </w:r>
    </w:p>
    <w:p w14:paraId="06C6A23B">
      <w:pPr>
        <w:spacing w:line="600" w:lineRule="exact"/>
        <w:ind w:firstLine="640" w:firstLineChars="200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C688514-FDAF-4CE1-82F9-27CB1CE98D1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B411D2D7-CDA7-410A-BFA3-F4E5CB487D6C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B510A957-5FE4-47FF-9E7D-DEEF29DF38DE}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  <w:embedRegular r:id="rId4" w:fontKey="{D5B79602-1F57-4D7B-95E7-01AC6052FBA9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B151DE41-CC18-424E-9D4B-CD8BE5A0DDDA}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  <w:embedRegular r:id="rId6" w:fontKey="{1438CAF5-C525-4028-A590-871B6B110383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7" w:fontKey="{16F88CD1-C28F-4BFB-97AB-73E53425CBCB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75F3F6">
    <w:pPr>
      <w:pStyle w:val="3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BBC8045">
                          <w:pPr>
                            <w:pStyle w:val="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BBC8045">
                    <w:pPr>
                      <w:pStyle w:val="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371F81F9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59768D"/>
    <w:multiLevelType w:val="singleLevel"/>
    <w:tmpl w:val="2359768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B953C04"/>
    <w:multiLevelType w:val="singleLevel"/>
    <w:tmpl w:val="4B953C04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yNzZmNGE5MjE0NTg3MTFiNzFmMzUyYmRjYzQ1NzYifQ=="/>
  </w:docVars>
  <w:rsids>
    <w:rsidRoot w:val="F77F09F4"/>
    <w:rsid w:val="000A27AF"/>
    <w:rsid w:val="00161C76"/>
    <w:rsid w:val="005678A8"/>
    <w:rsid w:val="00B40A65"/>
    <w:rsid w:val="00BB3BDA"/>
    <w:rsid w:val="00D33560"/>
    <w:rsid w:val="00F84B2A"/>
    <w:rsid w:val="0D2072BE"/>
    <w:rsid w:val="37173543"/>
    <w:rsid w:val="3FF76880"/>
    <w:rsid w:val="43744EF9"/>
    <w:rsid w:val="4E457467"/>
    <w:rsid w:val="50290C58"/>
    <w:rsid w:val="5C073259"/>
    <w:rsid w:val="62E81A57"/>
    <w:rsid w:val="712F1572"/>
    <w:rsid w:val="71AE6998"/>
    <w:rsid w:val="73BD6240"/>
    <w:rsid w:val="78014103"/>
    <w:rsid w:val="79A304E1"/>
    <w:rsid w:val="7AB7FF50"/>
    <w:rsid w:val="7BFEB0DB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autoRedefine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2453</Words>
  <Characters>2556</Characters>
  <Lines>2</Lines>
  <Paragraphs>1</Paragraphs>
  <TotalTime>0</TotalTime>
  <ScaleCrop>false</ScaleCrop>
  <LinksUpToDate>false</LinksUpToDate>
  <CharactersWithSpaces>2569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2022-03-10T03:16:00Z</dcterms:created>
  <dc:creator>user</dc:creator>
  <cp:lastModifiedBy>关聪聪</cp:lastModifiedBy>
  <cp:lastPrinted>2024-02-27T08:26:00Z</cp:lastPrinted>
  <dcterms:modified xsi:type="dcterms:W3CDTF">2025-02-21T09:54:20Z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6A93F158376E48579A5DDC49605FBD75_13</vt:lpwstr>
  </property>
  <property fmtid="{D5CDD505-2E9C-101B-9397-08002B2CF9AE}" pid="4" name="KSOTemplateDocerSaveRecord">
    <vt:lpwstr>eyJoZGlkIjoiNzIyNzZmNGE5MjE0NTg3MTFiNzFmMzUyYmRjYzQ1NzYiLCJ1c2VySWQiOiI5NTg1OTI5MTMifQ==</vt:lpwstr>
  </property>
</Properties>
</file>